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511" w:rsidRPr="008D44BB" w:rsidRDefault="001D6511" w:rsidP="001D6511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8D44BB">
        <w:rPr>
          <w:rFonts w:ascii="Times New Roman" w:hAnsi="Times New Roman" w:cs="Times New Roman"/>
        </w:rPr>
        <w:t>Паспорт государственной программы</w:t>
      </w:r>
    </w:p>
    <w:p w:rsidR="001D6511" w:rsidRPr="008D44BB" w:rsidRDefault="001D6511" w:rsidP="001D6511">
      <w:pPr>
        <w:pStyle w:val="ConsPlusTitle"/>
        <w:jc w:val="center"/>
        <w:rPr>
          <w:rFonts w:ascii="Times New Roman" w:hAnsi="Times New Roman" w:cs="Times New Roman"/>
        </w:rPr>
      </w:pPr>
      <w:r w:rsidRPr="008D44BB">
        <w:rPr>
          <w:rFonts w:ascii="Times New Roman" w:hAnsi="Times New Roman" w:cs="Times New Roman"/>
        </w:rPr>
        <w:t>Ханты-Мансийского автономного округа - Югры "Развитие</w:t>
      </w:r>
    </w:p>
    <w:p w:rsidR="001D6511" w:rsidRPr="008D44BB" w:rsidRDefault="001D6511" w:rsidP="001D6511">
      <w:pPr>
        <w:pStyle w:val="ConsPlusTitle"/>
        <w:jc w:val="center"/>
        <w:rPr>
          <w:rFonts w:ascii="Times New Roman" w:hAnsi="Times New Roman" w:cs="Times New Roman"/>
        </w:rPr>
      </w:pPr>
      <w:r w:rsidRPr="008D44BB">
        <w:rPr>
          <w:rFonts w:ascii="Times New Roman" w:hAnsi="Times New Roman" w:cs="Times New Roman"/>
        </w:rPr>
        <w:t>государственной гражданской и муниципальной службы"</w:t>
      </w:r>
    </w:p>
    <w:p w:rsidR="001D6511" w:rsidRPr="008D44BB" w:rsidRDefault="001D6511" w:rsidP="001D6511">
      <w:pPr>
        <w:pStyle w:val="ConsPlusTitle"/>
        <w:jc w:val="center"/>
        <w:rPr>
          <w:rFonts w:ascii="Times New Roman" w:hAnsi="Times New Roman" w:cs="Times New Roman"/>
        </w:rPr>
      </w:pPr>
      <w:r w:rsidRPr="008D44BB">
        <w:rPr>
          <w:rFonts w:ascii="Times New Roman" w:hAnsi="Times New Roman" w:cs="Times New Roman"/>
        </w:rPr>
        <w:t>(далее - государственная программа)</w:t>
      </w:r>
    </w:p>
    <w:p w:rsidR="001D6511" w:rsidRPr="001D6511" w:rsidRDefault="001D6511" w:rsidP="001D6511">
      <w:pPr>
        <w:pStyle w:val="ConsPlusNormal"/>
        <w:jc w:val="both"/>
      </w:pPr>
    </w:p>
    <w:tbl>
      <w:tblPr>
        <w:tblW w:w="978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230"/>
      </w:tblGrid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Наименование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Развитие государственной гражданской и муниципальной службы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постановление Правительства Ханты-Мансийского автономного округа - Югры (далее - автономный округ) от 5 октября 2018 года N 358-п "О государственной программе Ханты-Мансийского автономного округа - Югры "Развитие государственной гражданской и муниципальной службы"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Ответственный исполнитель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 xml:space="preserve">Департамент государственной гражданской службы и кадровой политики автономного округа (далее также - </w:t>
            </w:r>
            <w:proofErr w:type="spellStart"/>
            <w:r w:rsidRPr="008D44BB">
              <w:t>Депгосслужбы</w:t>
            </w:r>
            <w:proofErr w:type="spellEnd"/>
            <w:r w:rsidRPr="008D44BB">
              <w:t xml:space="preserve"> Югры)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Соисполнители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Департамент общественных и внешних связей автономного округа (далее также - Департамент общественных и внешних связей Югры);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Департамент образования и молодежной политики автономного округа (далее также - Депобразования и молодежи Югры);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Департамент информационных технологий и </w:t>
            </w:r>
            <w:proofErr w:type="gramStart"/>
            <w:r w:rsidRPr="008D44BB">
              <w:t>цифрового</w:t>
            </w:r>
            <w:proofErr w:type="gramEnd"/>
            <w:r w:rsidRPr="008D44BB">
              <w:t xml:space="preserve"> развития автономного округа (далее также - </w:t>
            </w:r>
            <w:proofErr w:type="spellStart"/>
            <w:r w:rsidRPr="008D44BB">
              <w:t>Депинформтехнологий</w:t>
            </w:r>
            <w:proofErr w:type="spellEnd"/>
            <w:r w:rsidRPr="008D44BB">
              <w:t xml:space="preserve"> Югры);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Аппарат Губернатора автономного округа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Цель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повышение эффективности государственной гражданской службы и муниципальной службы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Задачи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1. Повышение качества формирования кадрового состава государственной гражданской службы и муниципальной службы, совершенствование системы профессионального развития государственных гражданских служащих, муниципальных служащих и резерва управленческих кадров, повышение их профессионализма и компетентности.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2. Повышение эффективности управления кадровым составом, оптимизация организационной структуры и деятельности органов государственной власти, а также совершенствование антикоррупционных механизмов в системе государственной гражданской и муниципальной службы.</w:t>
            </w:r>
          </w:p>
          <w:p w:rsidR="007510BC" w:rsidRPr="008D44BB" w:rsidRDefault="001D6511" w:rsidP="007510BC">
            <w:pPr>
              <w:pStyle w:val="ConsPlusNormal"/>
              <w:ind w:firstLine="283"/>
              <w:jc w:val="both"/>
            </w:pPr>
            <w:r w:rsidRPr="008D44BB">
              <w:t xml:space="preserve">3. </w:t>
            </w:r>
            <w:r w:rsidR="007510BC" w:rsidRPr="008D44BB">
              <w:t>Построение системы мотивации и стимулирования на государственной гражданской и муниципальной службе, повышение престижа государственной гражданской и муниципальной службы, а также обеспечение открытости органов государственной власти.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4. Обеспечение условий для выполнения государственных функций, возложенных на </w:t>
            </w:r>
            <w:proofErr w:type="spellStart"/>
            <w:r w:rsidRPr="008D44BB">
              <w:t>Депгосслужбы</w:t>
            </w:r>
            <w:proofErr w:type="spellEnd"/>
            <w:r w:rsidRPr="008D44BB">
              <w:t xml:space="preserve"> Югры, а также отдельные исполнительные органы государственной власти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lastRenderedPageBreak/>
              <w:t>Подпрограммы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1. </w:t>
            </w:r>
            <w:hyperlink w:anchor="Par283" w:tooltip="Подпрограмма 1. Повышение профессионального уровня государственных гражданских служащих, муниципальных служащих и управленческих кадров в автономном округе" w:history="1">
              <w:r w:rsidRPr="008D44BB">
                <w:t>Повышение</w:t>
              </w:r>
            </w:hyperlink>
            <w:r w:rsidRPr="008D44BB">
              <w:t xml:space="preserve"> профессионального уровня государственных гражданских служащих, муниципальных служащих и управленческих кадров в автономном округе.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2. </w:t>
            </w:r>
            <w:hyperlink w:anchor="Par709" w:tooltip="Подпрограмма 2. Внедрение современных кадровых технологий на государственной гражданской службе автономного округа и муниципальной службе в автономном округе" w:history="1">
              <w:r w:rsidRPr="008D44BB">
                <w:t>Внедрение</w:t>
              </w:r>
            </w:hyperlink>
            <w:r w:rsidRPr="008D44BB">
              <w:t xml:space="preserve"> информационно-коммуникационных кадровых технологий на государственной гражданской и муниципальной службе в автономном округе.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3. </w:t>
            </w:r>
            <w:hyperlink w:anchor="Par1023" w:tooltip="Подпрограмма 3. Повышение престижа и открытости государственной гражданской службы и муниципальной службы" w:history="1">
              <w:r w:rsidRPr="008D44BB">
                <w:t>Повышение</w:t>
              </w:r>
            </w:hyperlink>
            <w:r w:rsidRPr="008D44BB">
              <w:t xml:space="preserve"> престижа и открытости государственной гражданской службы и муниципальной службы.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4. </w:t>
            </w:r>
            <w:hyperlink w:anchor="Par1239" w:tooltip="Подпрограмма 4. Создание условий для развития государственной гражданской службы автономного округа и муниципальной службы в автономном округе" w:history="1">
              <w:r w:rsidRPr="008D44BB">
                <w:t>Создание</w:t>
              </w:r>
            </w:hyperlink>
            <w:r w:rsidRPr="008D44BB">
              <w:t xml:space="preserve"> условий для развития государственной гражданской службы автономного округа и муниципальной службы в автономном округе.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511" w:rsidRPr="008D44BB" w:rsidRDefault="001D6511" w:rsidP="001D6511">
            <w:pPr>
              <w:pStyle w:val="ConsPlusNormal"/>
              <w:jc w:val="both"/>
            </w:pPr>
            <w:r w:rsidRPr="008D44BB">
              <w:t>портфель проектов "Производительность труда и поддержка занятости" - 3539,3 тыс. рублей, в том числе региональный проект "Системные меры по повышению производительности труда" - 3539,3 тыс. рублей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t>Целевые показатели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1. Увеличение доли государственных гражданских и муниципальных служащих в автономном округе, прошедших дополнительное профессиональное образование и имеющих высокий уровень развития профессиональных компетенций, с 55 до 90%.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2. Увеличение доли лиц, назначенных на должности из кадрового резерва, резерва управленческих кадров автономного округа, от общего количества назначений на вакантные должности с 65 до 77%.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3. Увеличение доли органов государственной власти и органов местного самоуправления муниципальных образований автономного округа, в которых внедрены информационно-коммуникационные кадровые технологии, с 50 до 88%.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4. Увеличение доли государственных и муниципальных служащих, соблюдающих ограничения и запреты, требования к служебному поведению, с 97 до 100%.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 xml:space="preserve">5. </w:t>
            </w:r>
            <w:proofErr w:type="gramStart"/>
            <w:r w:rsidRPr="008D44BB">
              <w:t>Увеличение численности обучающихся в образовательных организациях высшего образования и общеобразовательных организациях, гражданских и муниципальных служащих автономного округа, участвующих в конкурсах и олимпиадах, направленных на повышение престижа и открытости государственной гражданской и муниципальной службы, с 220 до 400 ед.</w:t>
            </w:r>
            <w:proofErr w:type="gramEnd"/>
          </w:p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 xml:space="preserve">6. Повышение уровня удовлетворенности населения автономного округа услугами в сфере государственной регистрации актов </w:t>
            </w:r>
            <w:r w:rsidRPr="008D44BB">
              <w:lastRenderedPageBreak/>
              <w:t xml:space="preserve">гражданского состояния (процент числа </w:t>
            </w:r>
            <w:proofErr w:type="gramStart"/>
            <w:r w:rsidRPr="008D44BB">
              <w:t>опрошенных</w:t>
            </w:r>
            <w:proofErr w:type="gramEnd"/>
            <w:r w:rsidRPr="008D44BB">
              <w:t>) с 90 до 94%</w:t>
            </w:r>
            <w:r w:rsidR="007510BC" w:rsidRPr="008D44BB">
              <w:t>.</w:t>
            </w:r>
          </w:p>
          <w:p w:rsidR="007510BC" w:rsidRPr="008D44BB" w:rsidRDefault="007510BC" w:rsidP="00AA39D3">
            <w:pPr>
              <w:pStyle w:val="ConsPlusNormal"/>
              <w:jc w:val="both"/>
            </w:pPr>
            <w:r w:rsidRPr="008D44BB">
              <w:t>7. Увеличение численности руководителей и специалистов исполнительных органов государственной власти автономного округа, органов местного самоуправления муниципальных образований автономного округа, повысивших свою квалификацию по вопросам внедрения принципов бережливого производства (нарастающим итогом), с 515 до 794 ед.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</w:pPr>
            <w:r w:rsidRPr="008D44BB">
              <w:lastRenderedPageBreak/>
              <w:t>Сроки реализации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2019 - 2025 годы и на период до 2030 года</w:t>
            </w:r>
          </w:p>
        </w:tc>
      </w:tr>
      <w:tr w:rsidR="001D6511" w:rsidRPr="008D44BB" w:rsidTr="008D44BB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Параметры финансового обеспечения государственной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11" w:rsidRPr="008D44BB" w:rsidRDefault="001D6511" w:rsidP="00AA39D3">
            <w:pPr>
              <w:pStyle w:val="ConsPlusNormal"/>
              <w:jc w:val="both"/>
            </w:pPr>
            <w:r w:rsidRPr="008D44BB">
              <w:t>общий объем финансирования государственной программы в 2019 - 2030 годах составит 18601716,2 тыс. рублей, в том числе по годам: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  <w:rPr>
                <w:strike/>
              </w:rPr>
            </w:pPr>
            <w:r w:rsidRPr="008D44BB">
              <w:t>2019 год – 1813156,0 тыс. рублей</w:t>
            </w:r>
            <w:r w:rsidRPr="008D44BB">
              <w:rPr>
                <w:strike/>
              </w:rPr>
              <w:t>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2020 год - 1786362,0</w:t>
            </w:r>
            <w:r w:rsidRPr="008D44BB">
              <w:rPr>
                <w:color w:val="FF0000"/>
              </w:rPr>
              <w:t xml:space="preserve"> </w:t>
            </w:r>
            <w:r w:rsidRPr="008D44BB">
              <w:t>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2021 год - 1783890,3</w:t>
            </w:r>
            <w:r w:rsidRPr="008D44BB">
              <w:rPr>
                <w:color w:val="FF0000"/>
              </w:rPr>
              <w:t xml:space="preserve"> </w:t>
            </w:r>
            <w:r w:rsidRPr="008D44BB">
              <w:t>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2022 год - 1788997,5 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2023 год - 1428663,8 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2024 год - 1428663,8 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2025 год - 1428663,8 тыс. рублей;</w:t>
            </w:r>
          </w:p>
          <w:p w:rsidR="001D6511" w:rsidRPr="008D44BB" w:rsidRDefault="001D6511" w:rsidP="00AA39D3">
            <w:pPr>
              <w:pStyle w:val="ConsPlusNormal"/>
              <w:ind w:firstLine="283"/>
              <w:jc w:val="both"/>
            </w:pPr>
            <w:r w:rsidRPr="008D44BB">
              <w:t>2026 - 2030 гг. - 7143319,0 тыс. рублей</w:t>
            </w:r>
          </w:p>
        </w:tc>
      </w:tr>
    </w:tbl>
    <w:p w:rsidR="003B142D" w:rsidRPr="001D6511" w:rsidRDefault="003B142D" w:rsidP="008D44BB">
      <w:pPr>
        <w:rPr>
          <w:rFonts w:ascii="Times New Roman" w:hAnsi="Times New Roman"/>
        </w:rPr>
      </w:pPr>
    </w:p>
    <w:sectPr w:rsidR="003B142D" w:rsidRPr="001D6511" w:rsidSect="00C843A5">
      <w:headerReference w:type="default" r:id="rId7"/>
      <w:pgSz w:w="11906" w:h="16838"/>
      <w:pgMar w:top="1134" w:right="850" w:bottom="1134" w:left="1701" w:header="708" w:footer="708" w:gutter="0"/>
      <w:pgNumType w:start="29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3A5" w:rsidRDefault="00C843A5" w:rsidP="00C843A5">
      <w:pPr>
        <w:spacing w:after="0" w:line="240" w:lineRule="auto"/>
      </w:pPr>
      <w:r>
        <w:separator/>
      </w:r>
    </w:p>
  </w:endnote>
  <w:endnote w:type="continuationSeparator" w:id="0">
    <w:p w:rsidR="00C843A5" w:rsidRDefault="00C843A5" w:rsidP="00C84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3A5" w:rsidRDefault="00C843A5" w:rsidP="00C843A5">
      <w:pPr>
        <w:spacing w:after="0" w:line="240" w:lineRule="auto"/>
      </w:pPr>
      <w:r>
        <w:separator/>
      </w:r>
    </w:p>
  </w:footnote>
  <w:footnote w:type="continuationSeparator" w:id="0">
    <w:p w:rsidR="00C843A5" w:rsidRDefault="00C843A5" w:rsidP="00C84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4617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843A5" w:rsidRPr="00C843A5" w:rsidRDefault="00C843A5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C843A5">
          <w:rPr>
            <w:rFonts w:ascii="Times New Roman" w:hAnsi="Times New Roman"/>
            <w:sz w:val="24"/>
            <w:szCs w:val="24"/>
          </w:rPr>
          <w:fldChar w:fldCharType="begin"/>
        </w:r>
        <w:r w:rsidRPr="00C843A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843A5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2920</w:t>
        </w:r>
        <w:r w:rsidRPr="00C843A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843A5" w:rsidRDefault="00C843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511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D6511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40427"/>
    <w:rsid w:val="0054060E"/>
    <w:rsid w:val="00543C51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510BC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4BB"/>
    <w:rsid w:val="008D4C0B"/>
    <w:rsid w:val="009022D0"/>
    <w:rsid w:val="009301F2"/>
    <w:rsid w:val="00950917"/>
    <w:rsid w:val="00957047"/>
    <w:rsid w:val="0096101C"/>
    <w:rsid w:val="00965FD4"/>
    <w:rsid w:val="0099346F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843A5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D6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8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3A5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8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3A5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511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65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D6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C8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43A5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84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43A5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Шубная  Юлия  Петровна</cp:lastModifiedBy>
  <cp:revision>4</cp:revision>
  <dcterms:created xsi:type="dcterms:W3CDTF">2019-10-11T04:29:00Z</dcterms:created>
  <dcterms:modified xsi:type="dcterms:W3CDTF">2019-10-21T06:03:00Z</dcterms:modified>
</cp:coreProperties>
</file>